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5AC3D" w14:textId="77777777" w:rsidR="000F2686" w:rsidRPr="0010319F" w:rsidRDefault="000F2686">
      <w:pPr>
        <w:rPr>
          <w:sz w:val="36"/>
          <w:szCs w:val="36"/>
        </w:rPr>
      </w:pPr>
    </w:p>
    <w:p w14:paraId="69BE7049" w14:textId="77777777" w:rsidR="000F2686" w:rsidRPr="0010319F" w:rsidRDefault="000F2686">
      <w:pPr>
        <w:rPr>
          <w:sz w:val="36"/>
          <w:szCs w:val="36"/>
        </w:rPr>
      </w:pPr>
    </w:p>
    <w:p w14:paraId="2FF887A6" w14:textId="77777777" w:rsidR="000F2686" w:rsidRPr="0010319F" w:rsidRDefault="000F2686">
      <w:pPr>
        <w:rPr>
          <w:sz w:val="36"/>
          <w:szCs w:val="36"/>
        </w:rPr>
      </w:pPr>
    </w:p>
    <w:p w14:paraId="6C2DBC48" w14:textId="77777777" w:rsidR="000F2686" w:rsidRPr="0010319F" w:rsidRDefault="000F2686">
      <w:pPr>
        <w:rPr>
          <w:sz w:val="36"/>
          <w:szCs w:val="36"/>
        </w:rPr>
      </w:pPr>
    </w:p>
    <w:p w14:paraId="6EA404E1" w14:textId="77777777" w:rsidR="000F2686" w:rsidRPr="0010319F" w:rsidRDefault="000F2686">
      <w:pPr>
        <w:rPr>
          <w:sz w:val="36"/>
          <w:szCs w:val="36"/>
        </w:rPr>
      </w:pPr>
    </w:p>
    <w:p w14:paraId="55D716A8" w14:textId="3202894A" w:rsidR="007A3CB7" w:rsidRPr="0010319F" w:rsidRDefault="000F2686" w:rsidP="000F2686">
      <w:pPr>
        <w:bidi/>
        <w:jc w:val="center"/>
        <w:rPr>
          <w:sz w:val="36"/>
          <w:szCs w:val="36"/>
        </w:rPr>
      </w:pPr>
      <w:r>
        <w:rPr>
          <w:noProof/>
          <w:sz w:val="36"/>
          <w:szCs w:val="36"/>
          <w:lang w:eastAsia="en-GB"/>
        </w:rPr>
        <w:drawing>
          <wp:inline distT="0" distB="0" distL="0" distR="0" wp14:anchorId="1A17D3AF" wp14:editId="1F209134">
            <wp:extent cx="2664460" cy="1017169"/>
            <wp:effectExtent l="0" t="0" r="0" b="0"/>
            <wp:docPr id="66" name="Picture 66" descr="صورة مقربة للشعار&#10;&#10;تم إنشاء الوصف تلقائيًا"/>
            <wp:cNvGraphicFramePr/>
            <a:graphic xmlns:a="http://schemas.openxmlformats.org/drawingml/2006/main">
              <a:graphicData uri="http://schemas.openxmlformats.org/drawingml/2006/picture">
                <pic:pic xmlns:pic="http://schemas.openxmlformats.org/drawingml/2006/picture">
                  <pic:nvPicPr>
                    <pic:cNvPr id="66" name="Picture 66" descr="A close-up of a logo&#10;&#10;Description automatically generated"/>
                    <pic:cNvPicPr/>
                  </pic:nvPicPr>
                  <pic:blipFill>
                    <a:blip r:embed="rId8"/>
                    <a:stretch>
                      <a:fillRect/>
                    </a:stretch>
                  </pic:blipFill>
                  <pic:spPr>
                    <a:xfrm>
                      <a:off x="0" y="0"/>
                      <a:ext cx="2664460" cy="1017169"/>
                    </a:xfrm>
                    <a:prstGeom prst="rect">
                      <a:avLst/>
                    </a:prstGeom>
                  </pic:spPr>
                </pic:pic>
              </a:graphicData>
            </a:graphic>
          </wp:inline>
        </w:drawing>
      </w:r>
    </w:p>
    <w:p w14:paraId="6803A5E0" w14:textId="77777777" w:rsidR="000F2686" w:rsidRPr="0010319F" w:rsidRDefault="000F2686" w:rsidP="000F2686">
      <w:pPr>
        <w:jc w:val="center"/>
        <w:rPr>
          <w:sz w:val="36"/>
          <w:szCs w:val="36"/>
        </w:rPr>
      </w:pPr>
    </w:p>
    <w:p w14:paraId="58055EAF" w14:textId="77777777" w:rsidR="000F2686" w:rsidRPr="0010319F" w:rsidRDefault="000F2686" w:rsidP="000F2686">
      <w:pPr>
        <w:jc w:val="center"/>
        <w:rPr>
          <w:sz w:val="36"/>
          <w:szCs w:val="36"/>
        </w:rPr>
      </w:pPr>
    </w:p>
    <w:p w14:paraId="79AF6AE5" w14:textId="77777777" w:rsidR="000F2686" w:rsidRPr="0010319F" w:rsidRDefault="000F2686" w:rsidP="000F2686">
      <w:pPr>
        <w:jc w:val="center"/>
        <w:rPr>
          <w:sz w:val="36"/>
          <w:szCs w:val="36"/>
        </w:rPr>
      </w:pPr>
    </w:p>
    <w:p w14:paraId="23967822" w14:textId="77777777" w:rsidR="000F2686" w:rsidRPr="0010319F" w:rsidRDefault="000F2686" w:rsidP="000F2686">
      <w:pPr>
        <w:jc w:val="center"/>
        <w:rPr>
          <w:sz w:val="36"/>
          <w:szCs w:val="36"/>
        </w:rPr>
      </w:pPr>
    </w:p>
    <w:p w14:paraId="5DC78F61" w14:textId="77777777" w:rsidR="000F2686" w:rsidRPr="0010319F" w:rsidRDefault="000F2686" w:rsidP="000F2686">
      <w:pPr>
        <w:bidi/>
        <w:spacing w:after="0" w:line="249" w:lineRule="auto"/>
        <w:ind w:left="1921" w:right="716" w:hanging="10"/>
        <w:jc w:val="center"/>
        <w:rPr>
          <w:rFonts w:ascii="Arial" w:eastAsia="Arial" w:hAnsi="Arial" w:cs="Arial"/>
          <w:color w:val="000000"/>
          <w:sz w:val="36"/>
          <w:szCs w:val="36"/>
        </w:rPr>
      </w:pPr>
      <w:r>
        <w:rPr>
          <w:rFonts w:ascii="Arial" w:eastAsia="Arial" w:hAnsi="Arial" w:cs="Arial"/>
          <w:b/>
          <w:bCs/>
          <w:color w:val="000000"/>
          <w:sz w:val="36"/>
          <w:szCs w:val="36"/>
          <w:rtl/>
          <w:lang w:bidi="ar"/>
        </w:rPr>
        <w:t>خدمة الصيدلية أولاً لمساعدة الحالات الصحية اليومية</w:t>
      </w:r>
      <w:r>
        <w:rPr>
          <w:rFonts w:ascii="Arial" w:eastAsia="Arial" w:hAnsi="Arial" w:cs="Arial"/>
          <w:color w:val="000000"/>
          <w:sz w:val="36"/>
          <w:szCs w:val="36"/>
          <w:rtl/>
          <w:lang w:bidi="ar"/>
        </w:rPr>
        <w:t xml:space="preserve"> </w:t>
      </w:r>
    </w:p>
    <w:p w14:paraId="4BD45E2B" w14:textId="77777777" w:rsidR="000F2686" w:rsidRPr="0010319F" w:rsidRDefault="000F2686" w:rsidP="000F2686">
      <w:pPr>
        <w:bidi/>
        <w:spacing w:after="0"/>
        <w:ind w:left="941"/>
        <w:rPr>
          <w:rFonts w:ascii="Arial" w:eastAsia="Arial" w:hAnsi="Arial" w:cs="Arial"/>
          <w:color w:val="000000"/>
          <w:sz w:val="36"/>
          <w:szCs w:val="36"/>
        </w:rPr>
      </w:pPr>
      <w:r>
        <w:rPr>
          <w:rFonts w:ascii="Calibri" w:eastAsia="Calibri" w:hAnsi="Calibri" w:cs="Calibri"/>
          <w:color w:val="000000"/>
          <w:sz w:val="36"/>
          <w:szCs w:val="36"/>
        </w:rPr>
        <w:t xml:space="preserve"> </w:t>
      </w:r>
    </w:p>
    <w:p w14:paraId="263F19A5" w14:textId="77777777" w:rsidR="000F2686" w:rsidRPr="0010319F" w:rsidRDefault="000F2686" w:rsidP="000F2686">
      <w:pPr>
        <w:jc w:val="center"/>
        <w:rPr>
          <w:sz w:val="36"/>
          <w:szCs w:val="36"/>
        </w:rPr>
      </w:pPr>
    </w:p>
    <w:p w14:paraId="2EA7A0D4" w14:textId="77777777" w:rsidR="000F2686" w:rsidRPr="0010319F" w:rsidRDefault="000F2686" w:rsidP="000F2686">
      <w:pPr>
        <w:jc w:val="center"/>
        <w:rPr>
          <w:sz w:val="36"/>
          <w:szCs w:val="36"/>
        </w:rPr>
      </w:pPr>
    </w:p>
    <w:p w14:paraId="58ED7343" w14:textId="77777777" w:rsidR="000F2686" w:rsidRPr="0010319F" w:rsidRDefault="000F2686" w:rsidP="000F2686">
      <w:pPr>
        <w:jc w:val="center"/>
        <w:rPr>
          <w:sz w:val="36"/>
          <w:szCs w:val="36"/>
        </w:rPr>
      </w:pPr>
    </w:p>
    <w:p w14:paraId="45031BD9" w14:textId="77777777" w:rsidR="000F2686" w:rsidRPr="0010319F" w:rsidRDefault="000F2686" w:rsidP="000F2686">
      <w:pPr>
        <w:jc w:val="center"/>
        <w:rPr>
          <w:sz w:val="36"/>
          <w:szCs w:val="36"/>
        </w:rPr>
      </w:pPr>
    </w:p>
    <w:p w14:paraId="5805D95C" w14:textId="77777777" w:rsidR="000F2686" w:rsidRPr="0010319F" w:rsidRDefault="000F2686" w:rsidP="000F2686">
      <w:pPr>
        <w:jc w:val="center"/>
        <w:rPr>
          <w:sz w:val="36"/>
          <w:szCs w:val="36"/>
        </w:rPr>
      </w:pPr>
    </w:p>
    <w:p w14:paraId="3E0A2545" w14:textId="77777777" w:rsidR="000F2686" w:rsidRPr="0010319F" w:rsidRDefault="000F2686" w:rsidP="000F2686">
      <w:pPr>
        <w:jc w:val="center"/>
        <w:rPr>
          <w:sz w:val="36"/>
          <w:szCs w:val="36"/>
        </w:rPr>
      </w:pPr>
    </w:p>
    <w:p w14:paraId="3088A406" w14:textId="77777777" w:rsidR="000F2686" w:rsidRPr="0010319F" w:rsidRDefault="000F2686" w:rsidP="000F2686">
      <w:pPr>
        <w:jc w:val="center"/>
        <w:rPr>
          <w:sz w:val="36"/>
          <w:szCs w:val="36"/>
        </w:rPr>
      </w:pPr>
    </w:p>
    <w:p w14:paraId="52E04A5E" w14:textId="77777777" w:rsidR="000F2686" w:rsidRPr="0010319F" w:rsidRDefault="000F2686" w:rsidP="000F2686">
      <w:pPr>
        <w:jc w:val="center"/>
        <w:rPr>
          <w:sz w:val="36"/>
          <w:szCs w:val="36"/>
        </w:rPr>
      </w:pPr>
    </w:p>
    <w:p w14:paraId="50C1B923" w14:textId="77777777" w:rsidR="000F2686" w:rsidRPr="0010319F" w:rsidRDefault="000F2686" w:rsidP="000F2686">
      <w:pPr>
        <w:jc w:val="center"/>
        <w:rPr>
          <w:sz w:val="36"/>
          <w:szCs w:val="36"/>
        </w:rPr>
      </w:pPr>
    </w:p>
    <w:p w14:paraId="1372EF0E" w14:textId="77777777" w:rsidR="000F2686" w:rsidRPr="0010319F" w:rsidRDefault="000F2686" w:rsidP="000F2686">
      <w:pPr>
        <w:jc w:val="center"/>
        <w:rPr>
          <w:sz w:val="36"/>
          <w:szCs w:val="36"/>
        </w:rPr>
      </w:pPr>
    </w:p>
    <w:p w14:paraId="137AFD7A" w14:textId="77777777" w:rsidR="000F2686" w:rsidRPr="0010319F" w:rsidRDefault="000F2686" w:rsidP="000F2686">
      <w:pPr>
        <w:jc w:val="center"/>
        <w:rPr>
          <w:sz w:val="36"/>
          <w:szCs w:val="36"/>
        </w:rPr>
      </w:pPr>
    </w:p>
    <w:p w14:paraId="6C7DBB75" w14:textId="77777777" w:rsidR="000F2686" w:rsidRPr="0010319F" w:rsidRDefault="000F2686" w:rsidP="000F2686">
      <w:pPr>
        <w:jc w:val="center"/>
        <w:rPr>
          <w:sz w:val="36"/>
          <w:szCs w:val="36"/>
        </w:rPr>
      </w:pPr>
    </w:p>
    <w:p w14:paraId="01228FF1" w14:textId="77777777" w:rsidR="000F2686" w:rsidRPr="0010319F" w:rsidRDefault="000F2686" w:rsidP="000F2686">
      <w:pPr>
        <w:jc w:val="center"/>
        <w:rPr>
          <w:sz w:val="36"/>
          <w:szCs w:val="36"/>
        </w:rPr>
      </w:pPr>
    </w:p>
    <w:p w14:paraId="17339914" w14:textId="52E0F6A3" w:rsidR="000F2686" w:rsidRPr="0010319F" w:rsidRDefault="000F2686" w:rsidP="000F2686">
      <w:pPr>
        <w:bidi/>
        <w:spacing w:after="3" w:line="249" w:lineRule="auto"/>
        <w:ind w:left="1069" w:right="8" w:hanging="10"/>
        <w:rPr>
          <w:rFonts w:ascii="Arial" w:eastAsia="Arial" w:hAnsi="Arial" w:cs="Arial"/>
          <w:color w:val="000000"/>
          <w:sz w:val="36"/>
          <w:szCs w:val="36"/>
        </w:rPr>
      </w:pPr>
      <w:r>
        <w:rPr>
          <w:rFonts w:ascii="Arial" w:eastAsia="Arial" w:hAnsi="Arial" w:cs="Arial"/>
          <w:color w:val="000000"/>
          <w:sz w:val="36"/>
          <w:szCs w:val="36"/>
          <w:rtl/>
          <w:lang w:bidi="ar"/>
        </w:rPr>
        <w:t xml:space="preserve">يقدم صيادلة المجتمع بالفعل المشورة للمرضى بشأن مجموعة كبيرة من الحالات الصحية اليومية ويوصون إما بالعلاج أو بالإحالة إلى متخصص آخر في الرعاية الصحية. تعتمد خدمة الصيدلية أولاً على هذه الخبرة التي تسمح لصيادلة المجتمع بتوفير بعض العلاجات، إذا اعتبرت ضرورية، مجانًا للمرضى المؤهلين للحصول على الخدمة الصحية. </w:t>
      </w:r>
    </w:p>
    <w:p w14:paraId="31844FE9" w14:textId="77777777" w:rsidR="000F2686" w:rsidRPr="0010319F" w:rsidRDefault="000F2686" w:rsidP="000F2686">
      <w:pPr>
        <w:bidi/>
        <w:spacing w:after="21"/>
        <w:ind w:left="941"/>
        <w:rPr>
          <w:rFonts w:ascii="Arial" w:eastAsia="Arial" w:hAnsi="Arial" w:cs="Arial"/>
          <w:color w:val="000000"/>
          <w:sz w:val="36"/>
          <w:szCs w:val="36"/>
        </w:rPr>
      </w:pPr>
      <w:r>
        <w:rPr>
          <w:rFonts w:ascii="Calibri" w:eastAsia="Calibri" w:hAnsi="Calibri" w:cs="Calibri"/>
          <w:color w:val="000000"/>
          <w:sz w:val="36"/>
          <w:szCs w:val="36"/>
        </w:rPr>
        <w:t xml:space="preserve"> </w:t>
      </w:r>
    </w:p>
    <w:p w14:paraId="3BFA6799" w14:textId="0276179E" w:rsidR="000F2686" w:rsidRPr="0010319F" w:rsidRDefault="000F2686" w:rsidP="000F2686">
      <w:pPr>
        <w:bidi/>
        <w:spacing w:after="3" w:line="249" w:lineRule="auto"/>
        <w:ind w:left="1069" w:right="8" w:hanging="10"/>
        <w:rPr>
          <w:rFonts w:ascii="Arial" w:eastAsia="Arial" w:hAnsi="Arial" w:cs="Arial"/>
          <w:color w:val="000000"/>
          <w:sz w:val="36"/>
          <w:szCs w:val="36"/>
        </w:rPr>
      </w:pPr>
      <w:r>
        <w:rPr>
          <w:rFonts w:ascii="Arial" w:eastAsia="Arial" w:hAnsi="Arial" w:cs="Arial"/>
          <w:color w:val="000000"/>
          <w:sz w:val="36"/>
          <w:szCs w:val="36"/>
          <w:rtl/>
          <w:lang w:bidi="ar"/>
        </w:rPr>
        <w:t>تعمل خدمة الصيدلية أولاً داخل صيدلية المجتمع على تحسين وصول المرضى إلى خدمات الرعاية الصحية وتشجع على استخدام الصيدلية كنقطة اتصال أولى للاستشارات الصحية المتعلقة بالحالات الصحية اليومية.  كما تساعد على تجنب أوقات الانتظار المرتبطة أحيانًا بزيارة الممارس العام.</w:t>
      </w:r>
    </w:p>
    <w:p w14:paraId="3C4D8508" w14:textId="77777777" w:rsidR="00EB624D" w:rsidRPr="0010319F" w:rsidRDefault="00EB624D" w:rsidP="000F2686">
      <w:pPr>
        <w:spacing w:after="3" w:line="249" w:lineRule="auto"/>
        <w:ind w:left="1069" w:right="8" w:hanging="10"/>
        <w:rPr>
          <w:rFonts w:ascii="Arial" w:eastAsia="Arial" w:hAnsi="Arial" w:cs="Arial"/>
          <w:color w:val="000000"/>
          <w:sz w:val="36"/>
          <w:szCs w:val="36"/>
        </w:rPr>
      </w:pPr>
    </w:p>
    <w:p w14:paraId="7D17D049" w14:textId="77777777" w:rsidR="00EB624D" w:rsidRPr="0010319F" w:rsidRDefault="00EB624D" w:rsidP="00EB624D">
      <w:pPr>
        <w:bidi/>
        <w:spacing w:after="3" w:line="249" w:lineRule="auto"/>
        <w:ind w:left="1069" w:right="8" w:hanging="10"/>
        <w:rPr>
          <w:rFonts w:ascii="Arial" w:eastAsia="Arial" w:hAnsi="Arial" w:cs="Arial"/>
          <w:color w:val="000000"/>
          <w:sz w:val="36"/>
          <w:szCs w:val="36"/>
        </w:rPr>
      </w:pPr>
      <w:r>
        <w:rPr>
          <w:rFonts w:ascii="Arial" w:eastAsia="Arial" w:hAnsi="Arial" w:cs="Arial"/>
          <w:color w:val="000000"/>
          <w:sz w:val="36"/>
          <w:szCs w:val="36"/>
          <w:rtl/>
          <w:lang w:bidi="ar"/>
        </w:rPr>
        <w:t xml:space="preserve">تتمتع صيدليات المجتمع بموقعها المتميز داخل المجتمعات وتوفر بابًا مفتوحًا لخدمة الجميع. يوجد أكثر من 520 صيدلية في جميع أنحاء أيرلندا الشمالية والتي يوجد بها صيادلة مستعدون لتقديم المشورة الصحية المستقلة مجانًا. </w:t>
      </w:r>
    </w:p>
    <w:p w14:paraId="52C14994" w14:textId="77777777" w:rsidR="00EB624D" w:rsidRPr="0010319F" w:rsidRDefault="00EB624D" w:rsidP="00EB624D">
      <w:pPr>
        <w:spacing w:after="3" w:line="249" w:lineRule="auto"/>
        <w:ind w:left="1069" w:right="8" w:hanging="10"/>
        <w:rPr>
          <w:rFonts w:ascii="Arial" w:eastAsia="Arial" w:hAnsi="Arial" w:cs="Arial"/>
          <w:color w:val="000000"/>
          <w:sz w:val="36"/>
          <w:szCs w:val="36"/>
        </w:rPr>
      </w:pPr>
    </w:p>
    <w:p w14:paraId="4CDCB000" w14:textId="436A1E20" w:rsidR="00EB624D" w:rsidRPr="0010319F" w:rsidRDefault="00EB624D" w:rsidP="00EB624D">
      <w:pPr>
        <w:bidi/>
        <w:spacing w:after="3" w:line="249" w:lineRule="auto"/>
        <w:ind w:left="1069" w:right="8" w:hanging="10"/>
        <w:rPr>
          <w:rFonts w:ascii="Arial" w:eastAsia="Arial" w:hAnsi="Arial" w:cs="Arial"/>
          <w:color w:val="000000"/>
          <w:sz w:val="36"/>
          <w:szCs w:val="36"/>
        </w:rPr>
      </w:pPr>
      <w:r>
        <w:rPr>
          <w:rFonts w:ascii="Arial" w:eastAsia="Arial" w:hAnsi="Arial" w:cs="Arial"/>
          <w:color w:val="000000"/>
          <w:sz w:val="36"/>
          <w:szCs w:val="36"/>
          <w:rtl/>
          <w:lang w:bidi="ar"/>
        </w:rPr>
        <w:t>الحالات الصحية التي يتم علاجها من خلال خدمة الصيدلية أولاً هي:</w:t>
      </w:r>
    </w:p>
    <w:p w14:paraId="73203BF1" w14:textId="77777777" w:rsidR="00EB624D" w:rsidRDefault="00EB624D" w:rsidP="00EB624D">
      <w:pPr>
        <w:spacing w:after="3" w:line="249" w:lineRule="auto"/>
        <w:ind w:left="1069" w:right="8" w:hanging="10"/>
        <w:rPr>
          <w:rFonts w:ascii="Arial" w:eastAsia="Arial" w:hAnsi="Arial" w:cs="Arial"/>
          <w:color w:val="000000"/>
          <w:sz w:val="36"/>
          <w:szCs w:val="36"/>
        </w:rPr>
      </w:pPr>
    </w:p>
    <w:p w14:paraId="1824140F" w14:textId="77777777" w:rsidR="002E2A14" w:rsidRDefault="002E2A14" w:rsidP="00EB624D">
      <w:pPr>
        <w:spacing w:after="3" w:line="249" w:lineRule="auto"/>
        <w:ind w:left="1069" w:right="8" w:hanging="10"/>
        <w:rPr>
          <w:rFonts w:ascii="Arial" w:eastAsia="Arial" w:hAnsi="Arial" w:cs="Arial"/>
          <w:color w:val="000000"/>
          <w:sz w:val="36"/>
          <w:szCs w:val="36"/>
        </w:rPr>
      </w:pPr>
    </w:p>
    <w:p w14:paraId="2C795E90" w14:textId="77777777" w:rsidR="002E2A14" w:rsidRDefault="002E2A14" w:rsidP="00EB624D">
      <w:pPr>
        <w:spacing w:after="3" w:line="249" w:lineRule="auto"/>
        <w:ind w:left="1069" w:right="8" w:hanging="10"/>
        <w:rPr>
          <w:rFonts w:ascii="Arial" w:eastAsia="Arial" w:hAnsi="Arial" w:cs="Arial"/>
          <w:color w:val="000000"/>
          <w:sz w:val="36"/>
          <w:szCs w:val="36"/>
        </w:rPr>
      </w:pPr>
    </w:p>
    <w:p w14:paraId="2631C8DB" w14:textId="77777777" w:rsidR="002E2A14" w:rsidRDefault="002E2A14" w:rsidP="00EB624D">
      <w:pPr>
        <w:spacing w:after="3" w:line="249" w:lineRule="auto"/>
        <w:ind w:left="1069" w:right="8" w:hanging="10"/>
        <w:rPr>
          <w:rFonts w:ascii="Arial" w:eastAsia="Arial" w:hAnsi="Arial" w:cs="Arial"/>
          <w:color w:val="000000"/>
          <w:sz w:val="36"/>
          <w:szCs w:val="36"/>
        </w:rPr>
      </w:pPr>
    </w:p>
    <w:p w14:paraId="3726C97D" w14:textId="77777777" w:rsidR="002E2A14" w:rsidRDefault="002E2A14" w:rsidP="00EB624D">
      <w:pPr>
        <w:spacing w:after="3" w:line="249" w:lineRule="auto"/>
        <w:ind w:left="1069" w:right="8" w:hanging="10"/>
        <w:rPr>
          <w:rFonts w:ascii="Arial" w:eastAsia="Arial" w:hAnsi="Arial" w:cs="Arial"/>
          <w:color w:val="000000"/>
          <w:sz w:val="36"/>
          <w:szCs w:val="36"/>
        </w:rPr>
      </w:pPr>
    </w:p>
    <w:p w14:paraId="0944C06E" w14:textId="77777777" w:rsidR="002E2A14" w:rsidRDefault="002E2A14" w:rsidP="00EB624D">
      <w:pPr>
        <w:spacing w:after="3" w:line="249" w:lineRule="auto"/>
        <w:ind w:left="1069" w:right="8" w:hanging="10"/>
        <w:rPr>
          <w:rFonts w:ascii="Arial" w:eastAsia="Arial" w:hAnsi="Arial" w:cs="Arial"/>
          <w:color w:val="000000"/>
          <w:sz w:val="36"/>
          <w:szCs w:val="36"/>
        </w:rPr>
      </w:pPr>
    </w:p>
    <w:p w14:paraId="133B640D" w14:textId="77777777" w:rsidR="002E2A14" w:rsidRPr="0010319F" w:rsidRDefault="002E2A14" w:rsidP="00EB624D">
      <w:pPr>
        <w:spacing w:after="3" w:line="249" w:lineRule="auto"/>
        <w:ind w:left="1069" w:right="8" w:hanging="10"/>
        <w:rPr>
          <w:rFonts w:ascii="Arial" w:eastAsia="Arial" w:hAnsi="Arial" w:cs="Arial"/>
          <w:color w:val="000000"/>
          <w:sz w:val="36"/>
          <w:szCs w:val="36"/>
        </w:rPr>
      </w:pPr>
    </w:p>
    <w:p w14:paraId="612585D7" w14:textId="77777777" w:rsidR="00EB624D" w:rsidRPr="0010319F" w:rsidRDefault="00EB624D" w:rsidP="00E23497">
      <w:pPr>
        <w:numPr>
          <w:ilvl w:val="0"/>
          <w:numId w:val="2"/>
        </w:numPr>
        <w:bidi/>
        <w:spacing w:after="88" w:line="249" w:lineRule="auto"/>
        <w:ind w:right="8"/>
        <w:rPr>
          <w:rFonts w:ascii="Arial" w:eastAsia="Arial" w:hAnsi="Arial" w:cs="Arial"/>
          <w:color w:val="000000"/>
          <w:sz w:val="36"/>
          <w:szCs w:val="36"/>
        </w:rPr>
      </w:pPr>
      <w:r>
        <w:rPr>
          <w:rFonts w:ascii="Arial" w:eastAsia="Arial" w:hAnsi="Arial" w:cs="Arial"/>
          <w:color w:val="000000"/>
          <w:sz w:val="36"/>
          <w:szCs w:val="36"/>
          <w:rtl/>
          <w:lang w:bidi="ar"/>
        </w:rPr>
        <w:lastRenderedPageBreak/>
        <w:t xml:space="preserve">حَب الشباب </w:t>
      </w:r>
    </w:p>
    <w:p w14:paraId="778C64F7" w14:textId="77777777" w:rsidR="00EB624D" w:rsidRPr="0010319F" w:rsidRDefault="00EB624D" w:rsidP="00E23497">
      <w:pPr>
        <w:numPr>
          <w:ilvl w:val="0"/>
          <w:numId w:val="2"/>
        </w:numPr>
        <w:bidi/>
        <w:spacing w:after="51" w:line="249" w:lineRule="auto"/>
        <w:ind w:right="8"/>
        <w:rPr>
          <w:rFonts w:ascii="Arial" w:eastAsia="Arial" w:hAnsi="Arial" w:cs="Arial"/>
          <w:color w:val="000000"/>
          <w:sz w:val="36"/>
          <w:szCs w:val="36"/>
        </w:rPr>
      </w:pPr>
      <w:r>
        <w:rPr>
          <w:rFonts w:ascii="Arial" w:eastAsia="Arial" w:hAnsi="Arial" w:cs="Arial"/>
          <w:color w:val="000000"/>
          <w:sz w:val="36"/>
          <w:szCs w:val="36"/>
          <w:rtl/>
          <w:lang w:bidi="ar"/>
        </w:rPr>
        <w:t xml:space="preserve">قدم الرياضي </w:t>
      </w:r>
    </w:p>
    <w:p w14:paraId="600A4C18" w14:textId="77777777" w:rsidR="00EB624D" w:rsidRPr="0010319F" w:rsidRDefault="00EB624D" w:rsidP="00E23497">
      <w:pPr>
        <w:numPr>
          <w:ilvl w:val="0"/>
          <w:numId w:val="2"/>
        </w:numPr>
        <w:bidi/>
        <w:spacing w:after="51" w:line="249" w:lineRule="auto"/>
        <w:ind w:right="8"/>
        <w:rPr>
          <w:rFonts w:ascii="Arial" w:eastAsia="Arial" w:hAnsi="Arial" w:cs="Arial"/>
          <w:color w:val="000000"/>
          <w:sz w:val="36"/>
          <w:szCs w:val="36"/>
        </w:rPr>
      </w:pPr>
      <w:r>
        <w:rPr>
          <w:rFonts w:ascii="Arial" w:eastAsia="Arial" w:hAnsi="Arial" w:cs="Arial"/>
          <w:color w:val="000000"/>
          <w:sz w:val="36"/>
          <w:szCs w:val="36"/>
          <w:rtl/>
          <w:lang w:bidi="ar"/>
        </w:rPr>
        <w:t xml:space="preserve">الإسهال الحاد </w:t>
      </w:r>
    </w:p>
    <w:p w14:paraId="06161202" w14:textId="77777777" w:rsidR="00EB624D" w:rsidRPr="0010319F" w:rsidRDefault="00EB624D" w:rsidP="00E23497">
      <w:pPr>
        <w:numPr>
          <w:ilvl w:val="0"/>
          <w:numId w:val="2"/>
        </w:numPr>
        <w:bidi/>
        <w:spacing w:after="49" w:line="249" w:lineRule="auto"/>
        <w:ind w:right="8"/>
        <w:rPr>
          <w:rFonts w:ascii="Arial" w:eastAsia="Arial" w:hAnsi="Arial" w:cs="Arial"/>
          <w:color w:val="000000"/>
          <w:sz w:val="36"/>
          <w:szCs w:val="36"/>
        </w:rPr>
      </w:pPr>
      <w:r>
        <w:rPr>
          <w:rFonts w:ascii="Arial" w:eastAsia="Arial" w:hAnsi="Arial" w:cs="Arial"/>
          <w:color w:val="000000"/>
          <w:sz w:val="36"/>
          <w:szCs w:val="36"/>
          <w:rtl/>
          <w:lang w:bidi="ar"/>
        </w:rPr>
        <w:t xml:space="preserve">شمع الأذن </w:t>
      </w:r>
    </w:p>
    <w:p w14:paraId="17BD8FAD" w14:textId="77777777" w:rsidR="00EB624D" w:rsidRPr="0010319F" w:rsidRDefault="00EB624D" w:rsidP="00E23497">
      <w:pPr>
        <w:numPr>
          <w:ilvl w:val="0"/>
          <w:numId w:val="2"/>
        </w:numPr>
        <w:bidi/>
        <w:spacing w:after="52" w:line="249" w:lineRule="auto"/>
        <w:ind w:right="8"/>
        <w:rPr>
          <w:rFonts w:ascii="Arial" w:eastAsia="Arial" w:hAnsi="Arial" w:cs="Arial"/>
          <w:color w:val="000000"/>
          <w:sz w:val="36"/>
          <w:szCs w:val="36"/>
        </w:rPr>
      </w:pPr>
      <w:r>
        <w:rPr>
          <w:rFonts w:ascii="Arial" w:eastAsia="Arial" w:hAnsi="Arial" w:cs="Arial"/>
          <w:color w:val="000000"/>
          <w:sz w:val="36"/>
          <w:szCs w:val="36"/>
          <w:rtl/>
          <w:lang w:bidi="ar"/>
        </w:rPr>
        <w:t xml:space="preserve">عدوى المنطقة بين الفخذين </w:t>
      </w:r>
    </w:p>
    <w:p w14:paraId="5E3D951F" w14:textId="77777777" w:rsidR="00EB624D" w:rsidRPr="0010319F" w:rsidRDefault="00EB624D" w:rsidP="00E23497">
      <w:pPr>
        <w:numPr>
          <w:ilvl w:val="0"/>
          <w:numId w:val="2"/>
        </w:numPr>
        <w:bidi/>
        <w:spacing w:after="51" w:line="249" w:lineRule="auto"/>
        <w:ind w:right="8"/>
        <w:rPr>
          <w:rFonts w:ascii="Arial" w:eastAsia="Arial" w:hAnsi="Arial" w:cs="Arial"/>
          <w:color w:val="000000"/>
          <w:sz w:val="36"/>
          <w:szCs w:val="36"/>
        </w:rPr>
      </w:pPr>
      <w:r>
        <w:rPr>
          <w:rFonts w:ascii="Arial" w:eastAsia="Arial" w:hAnsi="Arial" w:cs="Arial"/>
          <w:color w:val="000000"/>
          <w:sz w:val="36"/>
          <w:szCs w:val="36"/>
          <w:rtl/>
          <w:lang w:bidi="ar"/>
        </w:rPr>
        <w:t xml:space="preserve">البواسير </w:t>
      </w:r>
    </w:p>
    <w:p w14:paraId="7B8EA5B8" w14:textId="77777777" w:rsidR="00EB624D" w:rsidRPr="0010319F" w:rsidRDefault="00EB624D" w:rsidP="00E23497">
      <w:pPr>
        <w:numPr>
          <w:ilvl w:val="0"/>
          <w:numId w:val="2"/>
        </w:numPr>
        <w:bidi/>
        <w:spacing w:after="51" w:line="249" w:lineRule="auto"/>
        <w:ind w:right="8"/>
        <w:rPr>
          <w:rFonts w:ascii="Arial" w:eastAsia="Arial" w:hAnsi="Arial" w:cs="Arial"/>
          <w:color w:val="000000"/>
          <w:sz w:val="36"/>
          <w:szCs w:val="36"/>
        </w:rPr>
      </w:pPr>
      <w:r>
        <w:rPr>
          <w:rFonts w:ascii="Arial" w:eastAsia="Arial" w:hAnsi="Arial" w:cs="Arial"/>
          <w:color w:val="000000"/>
          <w:sz w:val="36"/>
          <w:szCs w:val="36"/>
          <w:rtl/>
          <w:lang w:bidi="ar"/>
        </w:rPr>
        <w:t xml:space="preserve">قمل الرأس </w:t>
      </w:r>
    </w:p>
    <w:p w14:paraId="2A786D6B" w14:textId="77777777" w:rsidR="00EB624D" w:rsidRPr="0010319F" w:rsidRDefault="00EB624D" w:rsidP="00E23497">
      <w:pPr>
        <w:numPr>
          <w:ilvl w:val="0"/>
          <w:numId w:val="2"/>
        </w:numPr>
        <w:bidi/>
        <w:spacing w:after="51" w:line="249" w:lineRule="auto"/>
        <w:ind w:right="8"/>
        <w:rPr>
          <w:rFonts w:ascii="Arial" w:eastAsia="Arial" w:hAnsi="Arial" w:cs="Arial"/>
          <w:color w:val="000000"/>
          <w:sz w:val="36"/>
          <w:szCs w:val="36"/>
        </w:rPr>
      </w:pPr>
      <w:r>
        <w:rPr>
          <w:rFonts w:ascii="Arial" w:eastAsia="Arial" w:hAnsi="Arial" w:cs="Arial"/>
          <w:color w:val="000000"/>
          <w:sz w:val="36"/>
          <w:szCs w:val="36"/>
          <w:rtl/>
          <w:lang w:bidi="ar"/>
        </w:rPr>
        <w:t xml:space="preserve">قرح الفم </w:t>
      </w:r>
    </w:p>
    <w:p w14:paraId="1B653C77" w14:textId="77777777" w:rsidR="00E23497" w:rsidRPr="0010319F" w:rsidRDefault="00EB624D" w:rsidP="00E23497">
      <w:pPr>
        <w:numPr>
          <w:ilvl w:val="0"/>
          <w:numId w:val="2"/>
        </w:numPr>
        <w:bidi/>
        <w:spacing w:after="51" w:line="249" w:lineRule="auto"/>
        <w:ind w:right="8"/>
        <w:rPr>
          <w:rFonts w:ascii="Arial" w:eastAsia="Arial" w:hAnsi="Arial" w:cs="Arial"/>
          <w:color w:val="000000"/>
          <w:sz w:val="36"/>
          <w:szCs w:val="36"/>
        </w:rPr>
      </w:pPr>
      <w:r>
        <w:rPr>
          <w:rFonts w:ascii="Arial" w:eastAsia="Arial" w:hAnsi="Arial" w:cs="Arial"/>
          <w:color w:val="000000"/>
          <w:sz w:val="36"/>
          <w:szCs w:val="36"/>
          <w:rtl/>
          <w:lang w:bidi="ar"/>
        </w:rPr>
        <w:t xml:space="preserve">الجرب </w:t>
      </w:r>
    </w:p>
    <w:p w14:paraId="37C9BF83" w14:textId="0ED1A2F5" w:rsidR="00E23497" w:rsidRPr="0010319F" w:rsidRDefault="00EB624D" w:rsidP="00E23497">
      <w:pPr>
        <w:numPr>
          <w:ilvl w:val="0"/>
          <w:numId w:val="2"/>
        </w:numPr>
        <w:bidi/>
        <w:spacing w:after="51" w:line="249" w:lineRule="auto"/>
        <w:ind w:left="567" w:right="8"/>
        <w:rPr>
          <w:rFonts w:ascii="Arial" w:eastAsia="Arial" w:hAnsi="Arial" w:cs="Arial"/>
          <w:color w:val="000000"/>
          <w:sz w:val="36"/>
          <w:szCs w:val="36"/>
        </w:rPr>
      </w:pPr>
      <w:r>
        <w:rPr>
          <w:rFonts w:ascii="Arial" w:eastAsia="Arial" w:hAnsi="Arial" w:cs="Arial"/>
          <w:color w:val="000000"/>
          <w:sz w:val="36"/>
          <w:szCs w:val="36"/>
          <w:rtl/>
          <w:lang w:bidi="ar"/>
        </w:rPr>
        <w:t xml:space="preserve">الديدان الخيطية </w:t>
      </w:r>
    </w:p>
    <w:p w14:paraId="41D4FC7D" w14:textId="15CD6232" w:rsidR="00EB624D" w:rsidRPr="0010319F" w:rsidRDefault="00EB624D" w:rsidP="00E23497">
      <w:pPr>
        <w:pStyle w:val="ListParagraph"/>
        <w:numPr>
          <w:ilvl w:val="0"/>
          <w:numId w:val="2"/>
        </w:numPr>
        <w:bidi/>
        <w:spacing w:after="49" w:line="249" w:lineRule="auto"/>
        <w:ind w:left="567" w:right="8"/>
        <w:rPr>
          <w:rFonts w:ascii="Arial" w:eastAsia="Arial" w:hAnsi="Arial" w:cs="Arial"/>
          <w:color w:val="000000"/>
          <w:sz w:val="36"/>
          <w:szCs w:val="36"/>
        </w:rPr>
      </w:pPr>
      <w:r>
        <w:rPr>
          <w:rFonts w:ascii="Arial" w:eastAsia="Arial" w:hAnsi="Arial" w:cs="Arial"/>
          <w:color w:val="000000"/>
          <w:sz w:val="36"/>
          <w:szCs w:val="36"/>
          <w:rtl/>
          <w:lang w:bidi="ar"/>
        </w:rPr>
        <w:t xml:space="preserve">القلاع الفموي </w:t>
      </w:r>
    </w:p>
    <w:p w14:paraId="7A1AB1C4" w14:textId="77777777" w:rsidR="00E23497" w:rsidRPr="0010319F" w:rsidRDefault="00EB624D" w:rsidP="00E23497">
      <w:pPr>
        <w:pStyle w:val="ListParagraph"/>
        <w:numPr>
          <w:ilvl w:val="0"/>
          <w:numId w:val="2"/>
        </w:numPr>
        <w:bidi/>
        <w:spacing w:after="51" w:line="249" w:lineRule="auto"/>
        <w:ind w:left="567" w:right="8"/>
        <w:rPr>
          <w:rFonts w:ascii="Arial" w:eastAsia="Arial" w:hAnsi="Arial" w:cs="Arial"/>
          <w:color w:val="000000"/>
          <w:sz w:val="36"/>
          <w:szCs w:val="36"/>
        </w:rPr>
      </w:pPr>
      <w:r>
        <w:rPr>
          <w:rFonts w:ascii="Arial" w:eastAsia="Arial" w:hAnsi="Arial" w:cs="Arial"/>
          <w:color w:val="000000"/>
          <w:sz w:val="36"/>
          <w:szCs w:val="36"/>
          <w:rtl/>
          <w:lang w:bidi="ar"/>
        </w:rPr>
        <w:t xml:space="preserve">القلاع المهبلي </w:t>
      </w:r>
    </w:p>
    <w:p w14:paraId="1A0CEDBE" w14:textId="62733DE7" w:rsidR="00EB624D" w:rsidRPr="0010319F" w:rsidRDefault="00EB624D" w:rsidP="00E23497">
      <w:pPr>
        <w:pStyle w:val="ListParagraph"/>
        <w:numPr>
          <w:ilvl w:val="0"/>
          <w:numId w:val="2"/>
        </w:numPr>
        <w:bidi/>
        <w:spacing w:after="51" w:line="249" w:lineRule="auto"/>
        <w:ind w:left="567" w:right="8"/>
        <w:rPr>
          <w:rFonts w:ascii="Arial" w:eastAsia="Arial" w:hAnsi="Arial" w:cs="Arial"/>
          <w:color w:val="000000"/>
          <w:sz w:val="36"/>
          <w:szCs w:val="36"/>
        </w:rPr>
      </w:pPr>
      <w:r>
        <w:rPr>
          <w:rFonts w:ascii="Arial" w:eastAsia="Arial" w:hAnsi="Arial" w:cs="Arial"/>
          <w:color w:val="000000"/>
          <w:sz w:val="36"/>
          <w:szCs w:val="36"/>
          <w:rtl/>
          <w:lang w:bidi="ar"/>
        </w:rPr>
        <w:t>الثآليل</w:t>
      </w:r>
    </w:p>
    <w:p w14:paraId="11DD7942" w14:textId="77777777" w:rsidR="00EB624D" w:rsidRPr="0010319F" w:rsidRDefault="00EB624D" w:rsidP="00EB624D">
      <w:pPr>
        <w:spacing w:after="3" w:line="249" w:lineRule="auto"/>
        <w:ind w:right="8"/>
        <w:rPr>
          <w:rFonts w:ascii="Arial" w:eastAsia="Arial" w:hAnsi="Arial" w:cs="Arial"/>
          <w:color w:val="000000"/>
          <w:sz w:val="36"/>
          <w:szCs w:val="36"/>
        </w:rPr>
      </w:pPr>
    </w:p>
    <w:p w14:paraId="7B97D2D5" w14:textId="77777777" w:rsidR="00B80351" w:rsidRPr="0010319F" w:rsidRDefault="00B80351" w:rsidP="00B80351">
      <w:pPr>
        <w:bidi/>
        <w:spacing w:after="3" w:line="249" w:lineRule="auto"/>
        <w:ind w:right="8"/>
        <w:jc w:val="center"/>
        <w:rPr>
          <w:rFonts w:ascii="Arial" w:eastAsia="Arial" w:hAnsi="Arial" w:cs="Arial"/>
          <w:color w:val="000000"/>
          <w:sz w:val="36"/>
          <w:szCs w:val="36"/>
        </w:rPr>
      </w:pPr>
      <w:r>
        <w:rPr>
          <w:rFonts w:ascii="Arial" w:eastAsia="Arial" w:hAnsi="Arial" w:cs="Arial"/>
          <w:color w:val="000000"/>
          <w:sz w:val="36"/>
          <w:szCs w:val="36"/>
          <w:rtl/>
          <w:lang w:bidi="ar"/>
        </w:rPr>
        <w:t>الخدمة متاحة لأي شخص مسجل لدى ممارس عام</w:t>
      </w:r>
    </w:p>
    <w:p w14:paraId="1D074F0A" w14:textId="64701C27" w:rsidR="00EB624D" w:rsidRPr="0010319F" w:rsidRDefault="00B80351" w:rsidP="00B80351">
      <w:pPr>
        <w:bidi/>
        <w:spacing w:after="3" w:line="249" w:lineRule="auto"/>
        <w:ind w:right="8"/>
        <w:rPr>
          <w:rFonts w:ascii="Arial" w:eastAsia="Arial" w:hAnsi="Arial" w:cs="Arial"/>
          <w:color w:val="000000"/>
          <w:sz w:val="36"/>
          <w:szCs w:val="36"/>
        </w:rPr>
      </w:pPr>
      <w:r>
        <w:rPr>
          <w:rFonts w:ascii="Arial" w:eastAsia="Arial" w:hAnsi="Arial" w:cs="Arial"/>
          <w:color w:val="000000"/>
          <w:sz w:val="36"/>
          <w:szCs w:val="36"/>
          <w:rtl/>
          <w:lang w:bidi="ar"/>
        </w:rPr>
        <w:t xml:space="preserve">               في أيرلندا الشمالية.</w:t>
      </w:r>
    </w:p>
    <w:p w14:paraId="2DD57B15" w14:textId="77777777" w:rsidR="00EB624D" w:rsidRPr="0010319F" w:rsidRDefault="00EB624D" w:rsidP="00EB624D">
      <w:pPr>
        <w:spacing w:after="3" w:line="249" w:lineRule="auto"/>
        <w:ind w:right="8"/>
        <w:rPr>
          <w:rFonts w:ascii="Arial" w:eastAsia="Arial" w:hAnsi="Arial" w:cs="Arial"/>
          <w:color w:val="000000"/>
          <w:sz w:val="36"/>
          <w:szCs w:val="36"/>
        </w:rPr>
      </w:pPr>
    </w:p>
    <w:p w14:paraId="5FB3D3CA" w14:textId="77777777" w:rsidR="00B80351" w:rsidRPr="0010319F" w:rsidRDefault="00B80351" w:rsidP="00B80351">
      <w:pPr>
        <w:bidi/>
        <w:spacing w:after="3" w:line="249" w:lineRule="auto"/>
        <w:ind w:left="1069" w:right="172" w:hanging="10"/>
        <w:rPr>
          <w:rFonts w:ascii="Arial" w:eastAsia="Arial" w:hAnsi="Arial" w:cs="Arial"/>
          <w:color w:val="000000"/>
          <w:sz w:val="36"/>
          <w:szCs w:val="36"/>
        </w:rPr>
      </w:pPr>
      <w:r>
        <w:rPr>
          <w:rFonts w:ascii="Arial" w:eastAsia="Arial" w:hAnsi="Arial" w:cs="Arial"/>
          <w:color w:val="000000"/>
          <w:sz w:val="36"/>
          <w:szCs w:val="36"/>
          <w:rtl/>
          <w:lang w:bidi="ar"/>
        </w:rPr>
        <w:t xml:space="preserve">الخدمة متاحة فقط للمرضى الذين تزيد أعمارهم عن 3 أشهر. ومع ذلك، لا يكون كل دواء مدرج في كتيب الخدمة مناسبًا لجميع المرضى. الأدوية المضمنة داخل الخدمة تلبي معايير الفئات العمرية المعتمدة للحصول على الأدوية بدون وصفة طبية. </w:t>
      </w:r>
    </w:p>
    <w:p w14:paraId="10D0E15A" w14:textId="77777777" w:rsidR="00B80351" w:rsidRPr="0010319F" w:rsidRDefault="00B80351" w:rsidP="00B80351">
      <w:pPr>
        <w:bidi/>
        <w:spacing w:after="0"/>
        <w:ind w:left="941"/>
        <w:rPr>
          <w:rFonts w:ascii="Arial" w:eastAsia="Arial" w:hAnsi="Arial" w:cs="Arial"/>
          <w:color w:val="000000"/>
          <w:sz w:val="36"/>
          <w:szCs w:val="36"/>
        </w:rPr>
      </w:pPr>
      <w:r>
        <w:rPr>
          <w:rFonts w:ascii="Calibri" w:eastAsia="Calibri" w:hAnsi="Calibri" w:cs="Calibri"/>
          <w:color w:val="000000"/>
          <w:sz w:val="36"/>
          <w:szCs w:val="36"/>
        </w:rPr>
        <w:t xml:space="preserve"> </w:t>
      </w:r>
    </w:p>
    <w:p w14:paraId="3861F291" w14:textId="77777777" w:rsidR="00B80351" w:rsidRPr="0010319F" w:rsidRDefault="00B80351" w:rsidP="00B80351">
      <w:pPr>
        <w:bidi/>
        <w:spacing w:after="3" w:line="249" w:lineRule="auto"/>
        <w:ind w:left="1069" w:right="8" w:hanging="10"/>
        <w:rPr>
          <w:rFonts w:ascii="Arial" w:eastAsia="Arial" w:hAnsi="Arial" w:cs="Arial"/>
          <w:color w:val="000000"/>
          <w:sz w:val="36"/>
          <w:szCs w:val="36"/>
        </w:rPr>
      </w:pPr>
      <w:r>
        <w:rPr>
          <w:rFonts w:ascii="Arial" w:eastAsia="Arial" w:hAnsi="Arial" w:cs="Arial"/>
          <w:color w:val="000000"/>
          <w:sz w:val="36"/>
          <w:szCs w:val="36"/>
          <w:rtl/>
          <w:lang w:bidi="ar"/>
        </w:rPr>
        <w:t xml:space="preserve">الحد الأدنى لعمر المريض الذي يمكن علاجه من خلال خدمة الصيدلية أولاً هو 3 أشهر، بغض النظر عما إذا كان ترخيص المنتج يغطي الاستخدام للأطفال الأصغر سنًا من عدمه. هناك بعض الأدوية يكون فيها الحد الأدنى للعمر أكبر من 3 أشهر. </w:t>
      </w:r>
    </w:p>
    <w:p w14:paraId="03DD0B02" w14:textId="77777777" w:rsidR="00B80351" w:rsidRPr="0010319F" w:rsidRDefault="00B80351" w:rsidP="00B80351">
      <w:pPr>
        <w:spacing w:after="3" w:line="249" w:lineRule="auto"/>
        <w:ind w:left="1069" w:right="8" w:hanging="10"/>
        <w:rPr>
          <w:rFonts w:ascii="Arial" w:eastAsia="Arial" w:hAnsi="Arial" w:cs="Arial"/>
          <w:color w:val="000000"/>
          <w:sz w:val="36"/>
          <w:szCs w:val="36"/>
        </w:rPr>
      </w:pPr>
    </w:p>
    <w:p w14:paraId="4AF045C5" w14:textId="52ACA176" w:rsidR="00B80351" w:rsidRPr="0010319F" w:rsidRDefault="00B80351" w:rsidP="00B80351">
      <w:pPr>
        <w:bidi/>
        <w:spacing w:after="3" w:line="249" w:lineRule="auto"/>
        <w:ind w:left="1069" w:right="8" w:hanging="10"/>
        <w:rPr>
          <w:rFonts w:ascii="Arial" w:eastAsia="Arial" w:hAnsi="Arial" w:cs="Arial"/>
          <w:color w:val="000000"/>
          <w:sz w:val="36"/>
          <w:szCs w:val="36"/>
        </w:rPr>
      </w:pPr>
      <w:r>
        <w:rPr>
          <w:rFonts w:ascii="Arial" w:eastAsia="Arial" w:hAnsi="Arial" w:cs="Arial"/>
          <w:color w:val="000000"/>
          <w:sz w:val="36"/>
          <w:szCs w:val="36"/>
          <w:rtl/>
          <w:lang w:bidi="ar"/>
        </w:rPr>
        <w:t>هذا موجز مختصر للغاية عن خدمة الصيدلية أولاً.</w:t>
      </w:r>
      <w:bookmarkStart w:id="0" w:name="_GoBack"/>
      <w:bookmarkEnd w:id="0"/>
    </w:p>
    <w:sectPr w:rsidR="00B80351" w:rsidRPr="001031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098"/>
    <w:multiLevelType w:val="hybridMultilevel"/>
    <w:tmpl w:val="82F0C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32028A"/>
    <w:multiLevelType w:val="hybridMultilevel"/>
    <w:tmpl w:val="462C7D20"/>
    <w:lvl w:ilvl="0" w:tplc="D010798E">
      <w:start w:val="1"/>
      <w:numFmt w:val="decimal"/>
      <w:lvlText w:val="%1."/>
      <w:lvlJc w:val="left"/>
      <w:pPr>
        <w:ind w:left="193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AC49382">
      <w:start w:val="1"/>
      <w:numFmt w:val="lowerLetter"/>
      <w:lvlText w:val="%2"/>
      <w:lvlJc w:val="left"/>
      <w:pPr>
        <w:ind w:left="155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9050F7AC">
      <w:start w:val="1"/>
      <w:numFmt w:val="lowerRoman"/>
      <w:lvlText w:val="%3"/>
      <w:lvlJc w:val="left"/>
      <w:pPr>
        <w:ind w:left="227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2370CC4C">
      <w:start w:val="1"/>
      <w:numFmt w:val="decimal"/>
      <w:lvlText w:val="%4"/>
      <w:lvlJc w:val="left"/>
      <w:pPr>
        <w:ind w:left="299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B4E7CF2">
      <w:start w:val="1"/>
      <w:numFmt w:val="lowerLetter"/>
      <w:lvlText w:val="%5"/>
      <w:lvlJc w:val="left"/>
      <w:pPr>
        <w:ind w:left="371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EBFA68D0">
      <w:start w:val="1"/>
      <w:numFmt w:val="lowerRoman"/>
      <w:lvlText w:val="%6"/>
      <w:lvlJc w:val="left"/>
      <w:pPr>
        <w:ind w:left="443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4AE8184C">
      <w:start w:val="1"/>
      <w:numFmt w:val="decimal"/>
      <w:lvlText w:val="%7"/>
      <w:lvlJc w:val="left"/>
      <w:pPr>
        <w:ind w:left="515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83F4A694">
      <w:start w:val="1"/>
      <w:numFmt w:val="lowerLetter"/>
      <w:lvlText w:val="%8"/>
      <w:lvlJc w:val="left"/>
      <w:pPr>
        <w:ind w:left="587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19507E5A">
      <w:start w:val="1"/>
      <w:numFmt w:val="lowerRoman"/>
      <w:lvlText w:val="%9"/>
      <w:lvlJc w:val="left"/>
      <w:pPr>
        <w:ind w:left="659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686"/>
    <w:rsid w:val="000F2686"/>
    <w:rsid w:val="0010319F"/>
    <w:rsid w:val="002E2A14"/>
    <w:rsid w:val="007A3CB7"/>
    <w:rsid w:val="00A96198"/>
    <w:rsid w:val="00B80351"/>
    <w:rsid w:val="00E23497"/>
    <w:rsid w:val="00EB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4F43"/>
  <w15:chartTrackingRefBased/>
  <w15:docId w15:val="{52EC9340-4D31-4728-809C-800F86F0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6c2dd6-9165-4322-be5c-1a6eec37c93a" xsi:nil="true"/>
    <lcf76f155ced4ddcb4097134ff3c332f xmlns="27a50d0d-44e8-42ae-a560-bbe745c9eb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DABF3B68B593448E6C994BD44FF2F7" ma:contentTypeVersion="17" ma:contentTypeDescription="Create a new document." ma:contentTypeScope="" ma:versionID="598de18e78705e20c0f8a29beef18d2c">
  <xsd:schema xmlns:xsd="http://www.w3.org/2001/XMLSchema" xmlns:xs="http://www.w3.org/2001/XMLSchema" xmlns:p="http://schemas.microsoft.com/office/2006/metadata/properties" xmlns:ns2="27a50d0d-44e8-42ae-a560-bbe745c9eb4d" xmlns:ns3="da6c2dd6-9165-4322-be5c-1a6eec37c93a" targetNamespace="http://schemas.microsoft.com/office/2006/metadata/properties" ma:root="true" ma:fieldsID="7a2b479d70f5d47083e01a6196d10499" ns2:_="" ns3:_="">
    <xsd:import namespace="27a50d0d-44e8-42ae-a560-bbe745c9eb4d"/>
    <xsd:import namespace="da6c2dd6-9165-4322-be5c-1a6eec37c9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50d0d-44e8-42ae-a560-bbe745c9e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25d5c4-11c9-43a0-8243-0ccd85c172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c2dd6-9165-4322-be5c-1a6eec37c93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e43989-49e4-4c85-9d6c-71a59aaae53a}" ma:internalName="TaxCatchAll" ma:showField="CatchAllData" ma:web="da6c2dd6-9165-4322-be5c-1a6eec37c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CF8BA-501D-4B6B-A6DB-FFE277D9E15A}">
  <ds:schemaRefs>
    <ds:schemaRef ds:uri="http://schemas.openxmlformats.org/package/2006/metadata/core-properties"/>
    <ds:schemaRef ds:uri="http://purl.org/dc/terms/"/>
    <ds:schemaRef ds:uri="27a50d0d-44e8-42ae-a560-bbe745c9eb4d"/>
    <ds:schemaRef ds:uri="http://schemas.microsoft.com/office/2006/documentManagement/types"/>
    <ds:schemaRef ds:uri="http://purl.org/dc/elements/1.1/"/>
    <ds:schemaRef ds:uri="http://schemas.microsoft.com/office/infopath/2007/PartnerControls"/>
    <ds:schemaRef ds:uri="http://schemas.microsoft.com/office/2006/metadata/properties"/>
    <ds:schemaRef ds:uri="da6c2dd6-9165-4322-be5c-1a6eec37c93a"/>
    <ds:schemaRef ds:uri="http://www.w3.org/XML/1998/namespace"/>
    <ds:schemaRef ds:uri="http://purl.org/dc/dcmitype/"/>
  </ds:schemaRefs>
</ds:datastoreItem>
</file>

<file path=customXml/itemProps2.xml><?xml version="1.0" encoding="utf-8"?>
<ds:datastoreItem xmlns:ds="http://schemas.openxmlformats.org/officeDocument/2006/customXml" ds:itemID="{E4EBE75B-6284-423A-B1FD-E76A44802C28}">
  <ds:schemaRefs>
    <ds:schemaRef ds:uri="http://schemas.microsoft.com/sharepoint/v3/contenttype/forms"/>
  </ds:schemaRefs>
</ds:datastoreItem>
</file>

<file path=customXml/itemProps3.xml><?xml version="1.0" encoding="utf-8"?>
<ds:datastoreItem xmlns:ds="http://schemas.openxmlformats.org/officeDocument/2006/customXml" ds:itemID="{DC0120B7-2D9A-47FF-A0AA-45BBC9032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50d0d-44e8-42ae-a560-bbe745c9eb4d"/>
    <ds:schemaRef ds:uri="da6c2dd6-9165-4322-be5c-1a6eec37c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Simpson</dc:creator>
  <cp:keywords/>
  <dc:description/>
  <cp:lastModifiedBy>PManager</cp:lastModifiedBy>
  <cp:revision>2</cp:revision>
  <dcterms:created xsi:type="dcterms:W3CDTF">2023-11-30T15:21:00Z</dcterms:created>
  <dcterms:modified xsi:type="dcterms:W3CDTF">2023-11-30T15:21:00Z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0x01010046DABF3B68B593448E6C994BD44FF2F7</vt:lpwstr>
  </property>
</Properties>
</file>